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2 – Logistics – Warehousing and Storage </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Fonts w:ascii="Arial" w:cs="Arial" w:eastAsia="Arial" w:hAnsi="Arial"/>
          <w:rtl w:val="0"/>
        </w:rPr>
        <w:t xml:space="preserve"> </w:t>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4.5.2.1</w:t>
              <w:tab/>
              <w:t xml:space="preserve">Provision of specially designed, purpose fitted premises which may include, but not be limited to temporary or semi-permanent structures.</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4.5.2.2</w:t>
              <w:tab/>
              <w:t xml:space="preserve">Provision of Warehouse and Storage area design, fit outs and where required, premises acquisition.</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4.5.2.3</w:t>
              <w:tab/>
              <w:t xml:space="preserve">Provision of forward stock locations.</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4.5.2.4</w:t>
              <w:tab/>
              <w:t xml:space="preserve">The capability to develop or manage Urban Consolidation centres and satellite locations.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4.5.2.5</w:t>
              <w:tab/>
              <w:t xml:space="preserve">Provision of Customs Clearance Services.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4.5.2.6</w:t>
              <w:tab/>
              <w:t xml:space="preserve">The Capability to effectively manage third party supply chains.</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4.5.2.7</w:t>
              <w:tab/>
              <w:t xml:space="preserve">Provision of temperature and environmental monitoring and control systems.</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4.5.2.8</w:t>
              <w:tab/>
              <w:t xml:space="preserve">Provision of specialist handling equipment that may include, but not be limited to, cranes, shipping container cranes and heavy lift forklift trucks.</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4.5.2.9</w:t>
              <w:tab/>
              <w:t xml:space="preserve">Provision of product assembly, product rework and processing.</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4.5.2.10 Twenty four (24) hours, seven (7) days per week, three hundred and sixty-five (365) days per year operational availability.</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4.5.2.11 Capability to securely store High Risk/Hi Value (HR / HV) items which may include, but is not limited to, electronics, gems, bullion, fine art, cash, indecent and obscene materials, tobacco, alcohol, counterfeit items and seized goods.</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4.5.2.12 Capability to securely store dangerous goods which may include, but is not limited to, flammable materials, explosive materials, radioactive material, firearms, ammunition, weapons and illegal drugs.</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4.5.2.13 Capability to securely store bulk liquids, gases and solids (including flammables).</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4.5.2.14 Capability to securely store foodstuffs, perishables and products of animal origin.</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4.5.2.15 Provision of web based customer interfaces and IT system integrations.</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4.5.2.16 Enhanced, auditable item, asset and warehouse management systems and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4.5.2.17 Provision of distribution planning software.</w:t>
            </w:r>
          </w:p>
        </w:tc>
        <w:tc>
          <w:tcPr/>
          <w:p w:rsidR="00000000" w:rsidDel="00000000" w:rsidP="00000000" w:rsidRDefault="00000000" w:rsidRPr="00000000" w14:paraId="0000003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D">
            <w:pPr>
              <w:rPr>
                <w:rFonts w:ascii="Arial" w:cs="Arial" w:eastAsia="Arial" w:hAnsi="Arial"/>
              </w:rPr>
            </w:pPr>
            <w:bookmarkStart w:colFirst="0" w:colLast="0" w:name="_heading=h.gjdgxs" w:id="0"/>
            <w:bookmarkEnd w:id="0"/>
            <w:r w:rsidDel="00000000" w:rsidR="00000000" w:rsidRPr="00000000">
              <w:rPr>
                <w:rtl w:val="0"/>
              </w:rPr>
            </w:r>
          </w:p>
        </w:tc>
      </w:tr>
    </w:tbl>
    <w:p w:rsidR="00000000" w:rsidDel="00000000" w:rsidP="00000000" w:rsidRDefault="00000000" w:rsidRPr="00000000" w14:paraId="0000003E">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Gbf3c/77VZeb7DTQfWjZ7gCnLw==">AMUW2mXg/YRSEY0r0JmjExsNogPS2TzQ0B3SorA0A8JWQmm0kD3OR3NoPbH5TJ4l+4R3/U98F1/xVp5kTvAcE87hIlDdeYYNfvBGqyo0IF0K7K5bhU9Aj7fOlxgnPtjZc708b09eXWRd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2020-08-13T17:46:00Z</dcterms:created>
  <dc:creator>Neil Hall</dc:creator>
</cp:coreProperties>
</file>